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60" w:line="264" w:lineRule="auto"/>
        <w:jc w:val="center"/>
      </w:pPr>
      <w:r>
        <w:rPr>
          <w:rFonts w:ascii="Georgia" w:hAnsi="Georgia" w:eastAsia="Georgia"/>
          <w:b/>
          <w:i w:val="0"/>
          <w:color w:val="1B365D"/>
          <w:sz w:val="42"/>
        </w:rPr>
        <w:t>Jeca S. Williams</w:t>
      </w:r>
    </w:p>
    <w:p>
      <w:pPr>
        <w:spacing w:before="0" w:after="60" w:line="264" w:lineRule="auto"/>
        <w:jc w:val="center"/>
      </w:pPr>
      <w:r>
        <w:rPr>
          <w:rFonts w:ascii="Calibri" w:hAnsi="Calibri" w:eastAsia="Calibri"/>
          <w:b w:val="0"/>
          <w:i w:val="0"/>
          <w:color w:val="2C4A6E"/>
          <w:sz w:val="21"/>
        </w:rPr>
        <w:t>Mediator | Alternative Dispute Resolution</w:t>
      </w:r>
    </w:p>
    <w:p>
      <w:pPr>
        <w:spacing w:before="0" w:after="120" w:line="264" w:lineRule="auto"/>
        <w:jc w:val="center"/>
        <w:pBdr>
          <w:bottom w:val="single" w:sz="18" w:space="4" w:color="1B365D"/>
        </w:pBdr>
      </w:pPr>
      <w:r>
        <w:rPr>
          <w:rFonts w:ascii="Calibri" w:hAnsi="Calibri" w:eastAsia="Calibri"/>
          <w:b w:val="0"/>
          <w:i w:val="0"/>
          <w:color w:val="5A6570"/>
          <w:sz w:val="18"/>
        </w:rPr>
        <w:t>Creative ADR Services · Arlington, Texas · 972-885-8703 · jwilliams@creativeadrservices.com · creativeadrservices.com</w:t>
      </w:r>
    </w:p>
    <w:p>
      <w:pPr>
        <w:spacing w:before="200" w:after="40" w:line="264" w:lineRule="auto"/>
        <w:pBdr>
          <w:bottom w:val="single" w:sz="8" w:space="4" w:color="1B365D"/>
        </w:pBdr>
      </w:pPr>
      <w:r>
        <w:rPr>
          <w:rFonts w:ascii="Calibri" w:hAnsi="Calibri" w:eastAsia="Calibri"/>
          <w:b/>
          <w:i w:val="0"/>
          <w:color w:val="1B365D"/>
          <w:sz w:val="21"/>
        </w:rPr>
        <w:t>Experience</w:t>
      </w:r>
    </w:p>
    <w:p>
      <w:pPr>
        <w:spacing w:before="60" w:after="120" w:line="283" w:lineRule="auto"/>
        <w:jc w:val="both"/>
      </w:pPr>
      <w:r>
        <w:rPr>
          <w:rFonts w:ascii="Georgia" w:hAnsi="Georgia" w:eastAsia="Georgia"/>
          <w:b w:val="0"/>
          <w:i w:val="0"/>
          <w:color w:val="1A1A1A"/>
          <w:sz w:val="20"/>
        </w:rPr>
        <w:t>Jeca S. Williams leads Creative ADR Services with a calm, organized process for parties ready to negotiate. She has served on the Texas Department of Insurance mediator roster and has been selected by mutual agreement in more than 1,350 Texas healthcare Independent Dispute Resolution (IDR) matters. Creative ADR Services offers focused virtual mediation for Texas healthcare IDR and civil matters statewide.</w:t>
      </w:r>
    </w:p>
    <w:p>
      <w:pPr>
        <w:spacing w:before="200" w:after="40" w:line="264" w:lineRule="auto"/>
        <w:pBdr>
          <w:bottom w:val="single" w:sz="8" w:space="4" w:color="1B365D"/>
        </w:pBdr>
      </w:pPr>
      <w:r>
        <w:rPr>
          <w:rFonts w:ascii="Calibri" w:hAnsi="Calibri" w:eastAsia="Calibri"/>
          <w:b/>
          <w:i w:val="0"/>
          <w:color w:val="1B365D"/>
          <w:sz w:val="21"/>
        </w:rPr>
        <w:t>Practice Areas</w:t>
      </w:r>
    </w:p>
    <w:p>
      <w:pPr>
        <w:spacing w:before="40" w:after="100" w:line="264" w:lineRule="auto"/>
      </w:pPr>
      <w:r>
        <w:rPr>
          <w:rFonts w:ascii="Georgia" w:hAnsi="Georgia" w:eastAsia="Georgia"/>
          <w:b w:val="0"/>
          <w:i/>
          <w:color w:val="5A6570"/>
          <w:sz w:val="19"/>
        </w:rPr>
        <w:t>Areas of mediation work through Creative ADR Services:</w:t>
      </w:r>
    </w:p>
    <w:p>
      <w:pPr>
        <w:spacing w:before="0" w:after="60" w:line="276" w:lineRule="auto"/>
        <w:ind w:left="173"/>
      </w:pPr>
      <w:r>
        <w:rPr>
          <w:rFonts w:ascii="Georgia" w:hAnsi="Georgia" w:eastAsia="Georgia"/>
          <w:b w:val="0"/>
          <w:i w:val="0"/>
          <w:color w:val="1A1A1A"/>
          <w:sz w:val="20"/>
        </w:rPr>
        <w:t xml:space="preserve">•  </w:t>
      </w:r>
      <w:r>
        <w:rPr>
          <w:rFonts w:ascii="Georgia" w:hAnsi="Georgia" w:eastAsia="Georgia"/>
          <w:b/>
          <w:i w:val="0"/>
          <w:color w:val="1A1A1A"/>
          <w:sz w:val="20"/>
        </w:rPr>
        <w:t>Texas healthcare IDR</w:t>
      </w:r>
      <w:r>
        <w:rPr>
          <w:rFonts w:ascii="Georgia" w:hAnsi="Georgia" w:eastAsia="Georgia"/>
          <w:b w:val="0"/>
          <w:i w:val="0"/>
          <w:color w:val="1A1A1A"/>
          <w:sz w:val="20"/>
        </w:rPr>
        <w:t xml:space="preserve"> — out-of-network medical billing disputes between health plans, facilities, and providers</w:t>
      </w:r>
    </w:p>
    <w:p>
      <w:pPr>
        <w:spacing w:before="0" w:after="60" w:line="276" w:lineRule="auto"/>
        <w:ind w:left="173"/>
      </w:pPr>
      <w:r>
        <w:rPr>
          <w:rFonts w:ascii="Georgia" w:hAnsi="Georgia" w:eastAsia="Georgia"/>
          <w:b w:val="0"/>
          <w:i w:val="0"/>
          <w:color w:val="1A1A1A"/>
          <w:sz w:val="20"/>
        </w:rPr>
        <w:t xml:space="preserve">•  </w:t>
      </w:r>
      <w:r>
        <w:rPr>
          <w:rFonts w:ascii="Georgia" w:hAnsi="Georgia" w:eastAsia="Georgia"/>
          <w:b/>
          <w:i w:val="0"/>
          <w:color w:val="1A1A1A"/>
          <w:sz w:val="20"/>
        </w:rPr>
        <w:t>Civil mediation</w:t>
      </w:r>
      <w:r>
        <w:rPr>
          <w:rFonts w:ascii="Georgia" w:hAnsi="Georgia" w:eastAsia="Georgia"/>
          <w:b w:val="0"/>
          <w:i w:val="0"/>
          <w:color w:val="1A1A1A"/>
          <w:sz w:val="20"/>
        </w:rPr>
        <w:t xml:space="preserve"> — debt, insurance, and other civil matters</w:t>
      </w:r>
    </w:p>
    <w:p>
      <w:pPr>
        <w:spacing w:before="0" w:after="60" w:line="276" w:lineRule="auto"/>
        <w:ind w:left="173"/>
      </w:pPr>
      <w:r>
        <w:rPr>
          <w:rFonts w:ascii="Georgia" w:hAnsi="Georgia" w:eastAsia="Georgia"/>
          <w:b w:val="0"/>
          <w:i w:val="0"/>
          <w:color w:val="1A1A1A"/>
          <w:sz w:val="20"/>
        </w:rPr>
        <w:t xml:space="preserve">•  </w:t>
      </w:r>
      <w:r>
        <w:rPr>
          <w:rFonts w:ascii="Georgia" w:hAnsi="Georgia" w:eastAsia="Georgia"/>
          <w:b/>
          <w:i w:val="0"/>
          <w:color w:val="1A1A1A"/>
          <w:sz w:val="20"/>
        </w:rPr>
        <w:t>Family and divorce mediation</w:t>
      </w:r>
      <w:r>
        <w:rPr>
          <w:rFonts w:ascii="Georgia" w:hAnsi="Georgia" w:eastAsia="Georgia"/>
          <w:b w:val="0"/>
          <w:i w:val="0"/>
          <w:color w:val="1A1A1A"/>
          <w:sz w:val="20"/>
        </w:rPr>
        <w:t xml:space="preserve"> — divorce and related family disputes</w:t>
      </w:r>
    </w:p>
    <w:p>
      <w:pPr>
        <w:spacing w:before="0" w:after="60" w:line="276" w:lineRule="auto"/>
        <w:ind w:left="173"/>
      </w:pPr>
      <w:r>
        <w:rPr>
          <w:rFonts w:ascii="Georgia" w:hAnsi="Georgia" w:eastAsia="Georgia"/>
          <w:b w:val="0"/>
          <w:i w:val="0"/>
          <w:color w:val="1A1A1A"/>
          <w:sz w:val="20"/>
        </w:rPr>
        <w:t xml:space="preserve">•  </w:t>
      </w:r>
      <w:r>
        <w:rPr>
          <w:rFonts w:ascii="Georgia" w:hAnsi="Georgia" w:eastAsia="Georgia"/>
          <w:b/>
          <w:i w:val="0"/>
          <w:color w:val="1A1A1A"/>
          <w:sz w:val="20"/>
        </w:rPr>
        <w:t>Community and court-connected mediation</w:t>
      </w:r>
      <w:r>
        <w:rPr>
          <w:rFonts w:ascii="Georgia" w:hAnsi="Georgia" w:eastAsia="Georgia"/>
          <w:b w:val="0"/>
          <w:i w:val="0"/>
          <w:color w:val="1A1A1A"/>
          <w:sz w:val="20"/>
        </w:rPr>
        <w:t xml:space="preserve"> — Dallas County Dispute Resolution Center and related court dockets</w:t>
      </w:r>
    </w:p>
    <w:p>
      <w:pPr>
        <w:spacing w:before="0" w:after="60" w:line="276" w:lineRule="auto"/>
        <w:ind w:left="173"/>
      </w:pPr>
      <w:r>
        <w:rPr>
          <w:rFonts w:ascii="Georgia" w:hAnsi="Georgia" w:eastAsia="Georgia"/>
          <w:b w:val="0"/>
          <w:i w:val="0"/>
          <w:color w:val="1A1A1A"/>
          <w:sz w:val="20"/>
        </w:rPr>
        <w:t xml:space="preserve">•  </w:t>
      </w:r>
      <w:r>
        <w:rPr>
          <w:rFonts w:ascii="Georgia" w:hAnsi="Georgia" w:eastAsia="Georgia"/>
          <w:b/>
          <w:i w:val="0"/>
          <w:color w:val="1A1A1A"/>
          <w:sz w:val="20"/>
        </w:rPr>
        <w:t>Education and workplace disputes</w:t>
      </w:r>
      <w:r>
        <w:rPr>
          <w:rFonts w:ascii="Georgia" w:hAnsi="Georgia" w:eastAsia="Georgia"/>
          <w:b w:val="0"/>
          <w:i w:val="0"/>
          <w:color w:val="1A1A1A"/>
          <w:sz w:val="20"/>
        </w:rPr>
        <w:t xml:space="preserve"> — special-education parent advocacy (TEA rostered) and workplace/EEO mediation</w:t>
      </w:r>
    </w:p>
    <w:p>
      <w:pPr>
        <w:spacing w:before="0" w:after="60" w:line="276" w:lineRule="auto"/>
        <w:ind w:left="173"/>
      </w:pPr>
      <w:r>
        <w:rPr>
          <w:rFonts w:ascii="Georgia" w:hAnsi="Georgia" w:eastAsia="Georgia"/>
          <w:b w:val="0"/>
          <w:i w:val="0"/>
          <w:color w:val="1A1A1A"/>
          <w:sz w:val="20"/>
        </w:rPr>
        <w:t xml:space="preserve">•  </w:t>
      </w:r>
      <w:r>
        <w:rPr>
          <w:rFonts w:ascii="Georgia" w:hAnsi="Georgia" w:eastAsia="Georgia"/>
          <w:b/>
          <w:i w:val="0"/>
          <w:color w:val="1A1A1A"/>
          <w:sz w:val="20"/>
        </w:rPr>
        <w:t>Virtual mediation statewide</w:t>
      </w:r>
      <w:r>
        <w:rPr>
          <w:rFonts w:ascii="Georgia" w:hAnsi="Georgia" w:eastAsia="Georgia"/>
          <w:b w:val="0"/>
          <w:i w:val="0"/>
          <w:color w:val="1A1A1A"/>
          <w:sz w:val="20"/>
        </w:rPr>
        <w:t xml:space="preserve"> — prepared sessions for parties and representatives across Texas</w:t>
      </w:r>
    </w:p>
    <w:p>
      <w:pPr>
        <w:spacing w:before="0" w:after="60" w:line="276" w:lineRule="auto"/>
        <w:ind w:left="173"/>
      </w:pPr>
      <w:r>
        <w:rPr>
          <w:rFonts w:ascii="Georgia" w:hAnsi="Georgia" w:eastAsia="Georgia"/>
          <w:b w:val="0"/>
          <w:i w:val="0"/>
          <w:color w:val="1A1A1A"/>
          <w:sz w:val="20"/>
        </w:rPr>
        <w:t xml:space="preserve">•  </w:t>
      </w:r>
      <w:r>
        <w:rPr>
          <w:rFonts w:ascii="Georgia" w:hAnsi="Georgia" w:eastAsia="Georgia"/>
          <w:b/>
          <w:i w:val="0"/>
          <w:color w:val="1A1A1A"/>
          <w:sz w:val="20"/>
        </w:rPr>
        <w:t>Multi-matter coordination</w:t>
      </w:r>
      <w:r>
        <w:rPr>
          <w:rFonts w:ascii="Georgia" w:hAnsi="Georgia" w:eastAsia="Georgia"/>
          <w:b w:val="0"/>
          <w:i w:val="0"/>
          <w:color w:val="1A1A1A"/>
          <w:sz w:val="20"/>
        </w:rPr>
        <w:t xml:space="preserve"> — related Request IDs combined into one session when both parties agree</w:t>
      </w:r>
    </w:p>
    <w:p>
      <w:pPr>
        <w:spacing w:before="200" w:after="40" w:line="264" w:lineRule="auto"/>
        <w:pBdr>
          <w:bottom w:val="single" w:sz="8" w:space="4" w:color="1B365D"/>
        </w:pBdr>
      </w:pPr>
      <w:r>
        <w:rPr>
          <w:rFonts w:ascii="Calibri" w:hAnsi="Calibri" w:eastAsia="Calibri"/>
          <w:b/>
          <w:i w:val="0"/>
          <w:color w:val="1B365D"/>
          <w:sz w:val="21"/>
        </w:rPr>
        <w:t>Mediation Practice</w:t>
      </w:r>
    </w:p>
    <w:p>
      <w:pPr>
        <w:spacing w:before="140" w:after="20" w:line="264" w:lineRule="auto"/>
      </w:pPr>
      <w:r>
        <w:rPr>
          <w:rFonts w:ascii="Calibri" w:hAnsi="Calibri" w:eastAsia="Calibri"/>
          <w:b/>
          <w:i w:val="0"/>
          <w:color w:val="1A1A1A"/>
          <w:sz w:val="20"/>
        </w:rPr>
        <w:t>Texas Department of Insurance — Rostered Mediator (Medical Billing)</w:t>
      </w:r>
    </w:p>
    <w:p>
      <w:pPr>
        <w:spacing w:before="0" w:after="50" w:line="276" w:lineRule="auto"/>
        <w:ind w:left="173"/>
      </w:pPr>
      <w:r>
        <w:rPr>
          <w:rFonts w:ascii="Georgia" w:hAnsi="Georgia" w:eastAsia="Georgia"/>
          <w:b w:val="0"/>
          <w:i w:val="0"/>
          <w:color w:val="1A1A1A"/>
          <w:sz w:val="20"/>
        </w:rPr>
        <w:t>•  Facilitates out-of-network payment disputes; virtual sessions, administration, and multi-matter coordination when parties agree</w:t>
      </w:r>
    </w:p>
    <w:p>
      <w:pPr>
        <w:spacing w:before="140" w:after="20" w:line="264" w:lineRule="auto"/>
      </w:pPr>
      <w:r>
        <w:rPr>
          <w:rFonts w:ascii="Calibri" w:hAnsi="Calibri" w:eastAsia="Calibri"/>
          <w:b/>
          <w:i w:val="0"/>
          <w:color w:val="1A1A1A"/>
          <w:sz w:val="20"/>
        </w:rPr>
        <w:t>Creative ADR Services — Managing Director &amp; Mediator</w:t>
      </w:r>
    </w:p>
    <w:p>
      <w:pPr>
        <w:spacing w:before="0" w:after="20" w:line="264" w:lineRule="auto"/>
      </w:pPr>
      <w:r>
        <w:rPr>
          <w:rFonts w:ascii="Georgia" w:hAnsi="Georgia" w:eastAsia="Georgia"/>
          <w:b w:val="0"/>
          <w:i/>
          <w:color w:val="5A6570"/>
          <w:sz w:val="18"/>
        </w:rPr>
        <w:t>(formerly AO Mediation / Roundtable Resolutions)</w:t>
      </w:r>
    </w:p>
    <w:p>
      <w:pPr>
        <w:spacing w:before="0" w:after="50" w:line="276" w:lineRule="auto"/>
        <w:ind w:left="173"/>
      </w:pPr>
      <w:r>
        <w:rPr>
          <w:rFonts w:ascii="Georgia" w:hAnsi="Georgia" w:eastAsia="Georgia"/>
          <w:b w:val="0"/>
          <w:i w:val="0"/>
          <w:color w:val="1A1A1A"/>
          <w:sz w:val="20"/>
        </w:rPr>
        <w:t>•  Independent ADR practice: Texas healthcare IDR, civil, family, education, workplace, community, and court-connected mediation</w:t>
      </w:r>
    </w:p>
    <w:p>
      <w:pPr>
        <w:spacing w:before="140" w:after="20" w:line="264" w:lineRule="auto"/>
      </w:pPr>
      <w:r>
        <w:rPr>
          <w:rFonts w:ascii="Calibri" w:hAnsi="Calibri" w:eastAsia="Calibri"/>
          <w:b/>
          <w:i w:val="0"/>
          <w:color w:val="1A1A1A"/>
          <w:sz w:val="20"/>
        </w:rPr>
        <w:t>Dallas County Dispute Resolution Center — Volunteer Mediator</w:t>
      </w:r>
    </w:p>
    <w:p>
      <w:pPr>
        <w:spacing w:before="0" w:after="50" w:line="276" w:lineRule="auto"/>
        <w:ind w:left="173"/>
      </w:pPr>
      <w:r>
        <w:rPr>
          <w:rFonts w:ascii="Georgia" w:hAnsi="Georgia" w:eastAsia="Georgia"/>
          <w:b w:val="0"/>
          <w:i w:val="0"/>
          <w:color w:val="1A1A1A"/>
          <w:sz w:val="20"/>
        </w:rPr>
        <w:t>•  Court-connected civil and family matters; Volunteer Mediator of the Month; Finalist, Volunteer Mediator of the Year</w:t>
      </w:r>
    </w:p>
    <w:p>
      <w:pPr>
        <w:spacing w:before="140" w:after="20" w:line="264" w:lineRule="auto"/>
      </w:pPr>
      <w:r>
        <w:rPr>
          <w:rFonts w:ascii="Calibri" w:hAnsi="Calibri" w:eastAsia="Calibri"/>
          <w:b/>
          <w:i w:val="0"/>
          <w:color w:val="1A1A1A"/>
          <w:sz w:val="20"/>
        </w:rPr>
        <w:t>Court dockets, advocacy, and teaching</w:t>
      </w:r>
    </w:p>
    <w:p>
      <w:pPr>
        <w:spacing w:before="0" w:after="50" w:line="276" w:lineRule="auto"/>
        <w:ind w:left="173"/>
      </w:pPr>
      <w:r>
        <w:rPr>
          <w:rFonts w:ascii="Georgia" w:hAnsi="Georgia" w:eastAsia="Georgia"/>
          <w:b w:val="0"/>
          <w:i w:val="0"/>
          <w:color w:val="1A1A1A"/>
          <w:sz w:val="20"/>
        </w:rPr>
        <w:t>•  Dallas County civil and JP dockets; U.S. EEOC LAMP volunteer neutral; adjunct faculty, University of North Texas</w:t>
      </w:r>
    </w:p>
    <w:p>
      <w:pPr>
        <w:spacing w:before="200" w:after="40" w:line="264" w:lineRule="auto"/>
        <w:pBdr>
          <w:bottom w:val="single" w:sz="8" w:space="4" w:color="1B365D"/>
        </w:pBdr>
      </w:pPr>
      <w:r>
        <w:rPr>
          <w:rFonts w:ascii="Calibri" w:hAnsi="Calibri" w:eastAsia="Calibri"/>
          <w:b/>
          <w:i w:val="0"/>
          <w:color w:val="1B365D"/>
          <w:sz w:val="21"/>
        </w:rPr>
        <w:t>Education &amp; Credentials</w:t>
      </w:r>
    </w:p>
    <w:p>
      <w:pPr>
        <w:spacing w:before="140" w:after="40" w:line="264" w:lineRule="auto"/>
      </w:pPr>
      <w:r>
        <w:rPr>
          <w:rFonts w:ascii="Calibri" w:hAnsi="Calibri" w:eastAsia="Calibri"/>
          <w:b/>
          <w:i w:val="0"/>
          <w:color w:val="2C4A6E"/>
          <w:sz w:val="19"/>
        </w:rPr>
        <w:t>Education</w:t>
      </w:r>
    </w:p>
    <w:p>
      <w:pPr>
        <w:spacing w:before="0" w:after="50" w:line="276" w:lineRule="auto"/>
        <w:ind w:left="173"/>
      </w:pPr>
      <w:r>
        <w:rPr>
          <w:rFonts w:ascii="Georgia" w:hAnsi="Georgia" w:eastAsia="Georgia"/>
          <w:b w:val="0"/>
          <w:i w:val="0"/>
          <w:color w:val="1A1A1A"/>
          <w:sz w:val="20"/>
        </w:rPr>
        <w:t>•  Master of Arts, Conflict Resolution and Reconciliation — Abilene Christian University</w:t>
      </w:r>
    </w:p>
    <w:p>
      <w:pPr>
        <w:spacing w:before="0" w:after="50" w:line="276" w:lineRule="auto"/>
        <w:ind w:left="173"/>
      </w:pPr>
      <w:r>
        <w:rPr>
          <w:rFonts w:ascii="Georgia" w:hAnsi="Georgia" w:eastAsia="Georgia"/>
          <w:b w:val="0"/>
          <w:i w:val="0"/>
          <w:color w:val="1A1A1A"/>
          <w:sz w:val="20"/>
        </w:rPr>
        <w:t>•  Bachelor of Applied Arts and Sciences, Alternative Dispute Resolution and Sociology — University of North Texas</w:t>
      </w:r>
    </w:p>
    <w:p>
      <w:pPr>
        <w:spacing w:before="0" w:after="50" w:line="276" w:lineRule="auto"/>
        <w:ind w:left="173"/>
      </w:pPr>
      <w:r>
        <w:rPr>
          <w:rFonts w:ascii="Georgia" w:hAnsi="Georgia" w:eastAsia="Georgia"/>
          <w:b w:val="0"/>
          <w:i w:val="0"/>
          <w:color w:val="1A1A1A"/>
          <w:sz w:val="20"/>
        </w:rPr>
        <w:t>•  Undergraduate Academic Certificate in Alternative Dispute Resolution — University of North Texas</w:t>
      </w:r>
    </w:p>
    <w:p>
      <w:pPr>
        <w:spacing w:before="0" w:after="50" w:line="276" w:lineRule="auto"/>
        <w:ind w:left="173"/>
      </w:pPr>
      <w:r>
        <w:rPr>
          <w:rFonts w:ascii="Georgia" w:hAnsi="Georgia" w:eastAsia="Georgia"/>
          <w:b w:val="0"/>
          <w:i w:val="0"/>
          <w:color w:val="1A1A1A"/>
          <w:sz w:val="20"/>
        </w:rPr>
        <w:t>•  Certificate, Paralegal Studies — UNT Professional Development Institute</w:t>
      </w:r>
    </w:p>
    <w:p>
      <w:pPr>
        <w:spacing w:before="0" w:after="50" w:line="276" w:lineRule="auto"/>
        <w:ind w:left="173"/>
      </w:pPr>
      <w:r>
        <w:rPr>
          <w:rFonts w:ascii="Georgia" w:hAnsi="Georgia" w:eastAsia="Georgia"/>
          <w:b w:val="0"/>
          <w:i w:val="0"/>
          <w:color w:val="1A1A1A"/>
          <w:sz w:val="20"/>
        </w:rPr>
        <w:t>•  Associate of Applied Science, Mental Health and Youth Counseling — McLennan Community College</w:t>
      </w:r>
    </w:p>
    <w:p>
      <w:pPr>
        <w:spacing w:before="140" w:after="40" w:line="264" w:lineRule="auto"/>
      </w:pPr>
      <w:r>
        <w:rPr>
          <w:rFonts w:ascii="Calibri" w:hAnsi="Calibri" w:eastAsia="Calibri"/>
          <w:b/>
          <w:i w:val="0"/>
          <w:color w:val="2C4A6E"/>
          <w:sz w:val="19"/>
        </w:rPr>
        <w:t>Mediation certificates</w:t>
      </w:r>
    </w:p>
    <w:p>
      <w:pPr>
        <w:spacing w:before="0" w:after="100" w:line="276" w:lineRule="auto"/>
      </w:pPr>
      <w:r>
        <w:rPr>
          <w:rFonts w:ascii="Georgia" w:hAnsi="Georgia" w:eastAsia="Georgia"/>
          <w:b w:val="0"/>
          <w:i w:val="0"/>
          <w:color w:val="1A1A1A"/>
          <w:sz w:val="20"/>
        </w:rPr>
        <w:t>Basic Mediation · Family Mediation · Advanced Marital Disputes Mediation · Elder Care Mediation</w:t>
      </w:r>
    </w:p>
    <w:p>
      <w:pPr>
        <w:spacing w:before="140" w:after="40" w:line="264" w:lineRule="auto"/>
      </w:pPr>
      <w:r>
        <w:rPr>
          <w:rFonts w:ascii="Calibri" w:hAnsi="Calibri" w:eastAsia="Calibri"/>
          <w:b/>
          <w:i w:val="0"/>
          <w:color w:val="2C4A6E"/>
          <w:sz w:val="19"/>
        </w:rPr>
        <w:t>Elder / Long-Term Care</w:t>
      </w:r>
    </w:p>
    <w:p>
      <w:pPr>
        <w:spacing w:before="0" w:after="50" w:line="276" w:lineRule="auto"/>
        <w:ind w:left="173"/>
      </w:pPr>
      <w:r>
        <w:rPr>
          <w:rFonts w:ascii="Georgia" w:hAnsi="Georgia" w:eastAsia="Georgia"/>
          <w:b w:val="0"/>
          <w:i w:val="0"/>
          <w:color w:val="1A1A1A"/>
          <w:sz w:val="20"/>
        </w:rPr>
        <w:t>•  Completed 8-Hour Elder Care Mediation Course (Mediation Worlds, PLLC)</w:t>
      </w:r>
    </w:p>
    <w:p>
      <w:pPr>
        <w:spacing w:before="0" w:after="50" w:line="276" w:lineRule="auto"/>
        <w:ind w:left="173"/>
      </w:pPr>
      <w:r>
        <w:rPr>
          <w:rFonts w:ascii="Georgia" w:hAnsi="Georgia" w:eastAsia="Georgia"/>
          <w:b w:val="0"/>
          <w:i w:val="0"/>
          <w:color w:val="1A1A1A"/>
          <w:sz w:val="20"/>
        </w:rPr>
        <w:t>•  Certified Long-Term Care Ombudsman (Texas / Senior Source)</w:t>
      </w:r>
    </w:p>
    <w:p>
      <w:pPr>
        <w:spacing w:before="140" w:after="40" w:line="264" w:lineRule="auto"/>
      </w:pPr>
      <w:r>
        <w:rPr>
          <w:rFonts w:ascii="Calibri" w:hAnsi="Calibri" w:eastAsia="Calibri"/>
          <w:b/>
          <w:i w:val="0"/>
          <w:color w:val="2C4A6E"/>
          <w:sz w:val="19"/>
        </w:rPr>
        <w:t>Family Violence / Domestic Violence</w:t>
      </w:r>
    </w:p>
    <w:p>
      <w:pPr>
        <w:spacing w:before="0" w:after="50" w:line="276" w:lineRule="auto"/>
        <w:ind w:left="173"/>
      </w:pPr>
      <w:r>
        <w:rPr>
          <w:rFonts w:ascii="Georgia" w:hAnsi="Georgia" w:eastAsia="Georgia"/>
          <w:b w:val="0"/>
          <w:i w:val="0"/>
          <w:color w:val="1A1A1A"/>
          <w:sz w:val="20"/>
        </w:rPr>
        <w:t>•  Family Violence Training for Mediators (CPRC §154.052(b)), Dallas Bar Association / Dallas County Dispute Resolution Center</w:t>
      </w:r>
    </w:p>
    <w:p>
      <w:pPr>
        <w:spacing w:before="0" w:after="50" w:line="276" w:lineRule="auto"/>
        <w:ind w:left="173"/>
      </w:pPr>
      <w:r>
        <w:rPr>
          <w:rFonts w:ascii="Georgia" w:hAnsi="Georgia" w:eastAsia="Georgia"/>
          <w:b w:val="0"/>
          <w:i w:val="0"/>
          <w:color w:val="1A1A1A"/>
          <w:sz w:val="20"/>
        </w:rPr>
        <w:t>•  SB 539 Mediator Training Part 1: Dynamics of Domestic Violence, Texas Council on Family Violence</w:t>
      </w:r>
    </w:p>
    <w:p>
      <w:pPr>
        <w:spacing w:before="140" w:after="40" w:line="264" w:lineRule="auto"/>
      </w:pPr>
      <w:r>
        <w:rPr>
          <w:rFonts w:ascii="Calibri" w:hAnsi="Calibri" w:eastAsia="Calibri"/>
          <w:b/>
          <w:i w:val="0"/>
          <w:color w:val="2C4A6E"/>
          <w:sz w:val="19"/>
        </w:rPr>
        <w:t>Selected mediation &amp; ADR training</w:t>
      </w:r>
    </w:p>
    <w:p>
      <w:pPr>
        <w:spacing w:before="0" w:after="50" w:line="276" w:lineRule="auto"/>
        <w:ind w:left="173"/>
      </w:pPr>
      <w:r>
        <w:rPr>
          <w:rFonts w:ascii="Georgia" w:hAnsi="Georgia" w:eastAsia="Georgia"/>
          <w:b w:val="0"/>
          <w:i w:val="0"/>
          <w:color w:val="1A1A1A"/>
          <w:sz w:val="20"/>
        </w:rPr>
        <w:t>•  UNT — Basic Mediation (40-hour) and Family Mediation (24-hour), Texas ADR Act §154.052</w:t>
      </w:r>
    </w:p>
    <w:p>
      <w:pPr>
        <w:spacing w:before="0" w:after="50" w:line="276" w:lineRule="auto"/>
        <w:ind w:left="173"/>
      </w:pPr>
      <w:r>
        <w:rPr>
          <w:rFonts w:ascii="Georgia" w:hAnsi="Georgia" w:eastAsia="Georgia"/>
          <w:b w:val="0"/>
          <w:i w:val="0"/>
          <w:color w:val="1A1A1A"/>
          <w:sz w:val="20"/>
        </w:rPr>
        <w:t>•  ACU Duncum Center — Basic Mediation (40-hour) and Advanced Mediation: Marital Disputes</w:t>
      </w:r>
    </w:p>
    <w:p>
      <w:pPr>
        <w:spacing w:before="0" w:after="50" w:line="276" w:lineRule="auto"/>
        <w:ind w:left="173"/>
      </w:pPr>
      <w:r>
        <w:rPr>
          <w:rFonts w:ascii="Georgia" w:hAnsi="Georgia" w:eastAsia="Georgia"/>
          <w:b w:val="0"/>
          <w:i w:val="0"/>
          <w:color w:val="1A1A1A"/>
          <w:sz w:val="20"/>
        </w:rPr>
        <w:t>•  Resync Dispute Resolution Services — Mediation, Conflict and Dispute Resolution (60 hours + 3 ethics)</w:t>
      </w:r>
    </w:p>
    <w:p>
      <w:pPr>
        <w:spacing w:before="140" w:after="40" w:line="264" w:lineRule="auto"/>
      </w:pPr>
      <w:r>
        <w:rPr>
          <w:rFonts w:ascii="Calibri" w:hAnsi="Calibri" w:eastAsia="Calibri"/>
          <w:b/>
          <w:i w:val="0"/>
          <w:color w:val="2C4A6E"/>
          <w:sz w:val="19"/>
        </w:rPr>
        <w:t>Credential</w:t>
      </w:r>
    </w:p>
    <w:p>
      <w:pPr>
        <w:spacing w:before="0" w:after="50" w:line="276" w:lineRule="auto"/>
        <w:ind w:left="173"/>
      </w:pPr>
      <w:r>
        <w:rPr>
          <w:rFonts w:ascii="Georgia" w:hAnsi="Georgia" w:eastAsia="Georgia"/>
          <w:b w:val="0"/>
          <w:i w:val="0"/>
          <w:color w:val="1A1A1A"/>
          <w:sz w:val="20"/>
        </w:rPr>
        <w:t>•  Texas Mediator Credentialing Association (TMCA) — Credentialed Mediator</w:t>
      </w:r>
    </w:p>
    <w:p>
      <w:pPr>
        <w:spacing w:before="140" w:after="40" w:line="264" w:lineRule="auto"/>
      </w:pPr>
      <w:r>
        <w:rPr>
          <w:rFonts w:ascii="Calibri" w:hAnsi="Calibri" w:eastAsia="Calibri"/>
          <w:b/>
          <w:i w:val="0"/>
          <w:color w:val="2C4A6E"/>
          <w:sz w:val="19"/>
        </w:rPr>
        <w:t>Arbitration roster</w:t>
      </w:r>
    </w:p>
    <w:p>
      <w:pPr>
        <w:spacing w:before="0" w:after="50" w:line="276" w:lineRule="auto"/>
        <w:ind w:left="173"/>
      </w:pPr>
      <w:r>
        <w:rPr>
          <w:rFonts w:ascii="Georgia" w:hAnsi="Georgia" w:eastAsia="Georgia"/>
          <w:b w:val="0"/>
          <w:i w:val="0"/>
          <w:color w:val="1A1A1A"/>
          <w:sz w:val="20"/>
        </w:rPr>
        <w:t>•  Michigan Department of Insurance and Financial Services (DIFS) — Approved Arbitrators List (Surprise Medical Billing)</w:t>
      </w:r>
    </w:p>
    <w:p>
      <w:pPr>
        <w:spacing w:before="140" w:after="40" w:line="264" w:lineRule="auto"/>
      </w:pPr>
      <w:r>
        <w:rPr>
          <w:rFonts w:ascii="Calibri" w:hAnsi="Calibri" w:eastAsia="Calibri"/>
          <w:b/>
          <w:i w:val="0"/>
          <w:color w:val="2C4A6E"/>
          <w:sz w:val="19"/>
        </w:rPr>
        <w:t>Arbitration training</w:t>
      </w:r>
    </w:p>
    <w:p>
      <w:pPr>
        <w:spacing w:before="0" w:after="50" w:line="276" w:lineRule="auto"/>
        <w:ind w:left="173"/>
      </w:pPr>
      <w:r>
        <w:rPr>
          <w:rFonts w:ascii="Georgia" w:hAnsi="Georgia" w:eastAsia="Georgia"/>
          <w:b w:val="0"/>
          <w:i w:val="0"/>
          <w:color w:val="1A1A1A"/>
          <w:sz w:val="20"/>
        </w:rPr>
        <w:t>•  American Health Law Association · Florida Supreme Court–Approved Arbitration Training (Dunlap) · ABA Arbitration Training Institute</w:t>
      </w:r>
    </w:p>
    <w:p>
      <w:pPr>
        <w:spacing w:before="200" w:after="40" w:line="264" w:lineRule="auto"/>
        <w:pBdr>
          <w:bottom w:val="single" w:sz="8" w:space="4" w:color="1B365D"/>
        </w:pBdr>
      </w:pPr>
      <w:r>
        <w:rPr>
          <w:rFonts w:ascii="Calibri" w:hAnsi="Calibri" w:eastAsia="Calibri"/>
          <w:b/>
          <w:i w:val="0"/>
          <w:color w:val="1B365D"/>
          <w:sz w:val="21"/>
        </w:rPr>
        <w:t>Professional Affiliations</w:t>
      </w:r>
    </w:p>
    <w:p>
      <w:pPr>
        <w:spacing w:before="60" w:after="120" w:line="283" w:lineRule="auto"/>
        <w:jc w:val="both"/>
      </w:pPr>
      <w:r>
        <w:rPr>
          <w:rFonts w:ascii="Georgia" w:hAnsi="Georgia" w:eastAsia="Georgia"/>
          <w:b w:val="0"/>
          <w:i w:val="0"/>
          <w:color w:val="1A1A1A"/>
          <w:sz w:val="20"/>
        </w:rPr>
        <w:t>ABA Section of Dispute Resolution; Texas Association of Mediators; TMCA; Co-Facilitator, Basic Mediation Training, Denton Bar Association; Guest Speaker, Basic Mediation Course, UNT–Dallas</w:t>
      </w:r>
    </w:p>
    <w:p>
      <w:pPr>
        <w:spacing w:before="240" w:after="0" w:line="264" w:lineRule="auto"/>
        <w:jc w:val="center"/>
      </w:pPr>
      <w:r>
        <w:rPr>
          <w:rFonts w:ascii="Calibri" w:hAnsi="Calibri" w:eastAsia="Calibri"/>
          <w:b w:val="0"/>
          <w:i w:val="0"/>
          <w:color w:val="5A6570"/>
          <w:sz w:val="16"/>
        </w:rPr>
        <w:t>Creative ADR Services · Website Experience Profile</w:t>
      </w:r>
    </w:p>
    <w:sectPr w:rsidR="00FC693F" w:rsidRPr="0006063C" w:rsidSect="00034616">
      <w:footerReference w:type="default" r:id="rId9"/>
      <w:pgSz w:w="12240" w:h="15840"/>
      <w:pgMar w:top="864" w:right="1152" w:bottom="79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5A6570"/>
        <w:sz w:val="16"/>
      </w:rPr>
      <w:t xml:space="preserve">Page </w:t>
    </w:r>
    <w:r>
      <w:rPr>
        <w:rFonts w:ascii="Calibri" w:hAnsi="Calibri" w:eastAsia="Calibri"/>
        <w:b w:val="0"/>
        <w:i w:val="0"/>
        <w:color w:val="5A6570"/>
        <w:sz w:val="16"/>
      </w:rPr>
      <w:fldChar w:fldCharType="begin"/>
      <w:instrText xml:space="preserve"> PAGE </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